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8" w:rsidRDefault="00490C88" w:rsidP="00490C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fldChar w:fldCharType="begin"/>
      </w:r>
      <w:r>
        <w:rPr>
          <w:rFonts w:ascii="Arial" w:eastAsia="Times New Roman" w:hAnsi="Arial" w:cs="Arial"/>
          <w:sz w:val="16"/>
          <w:szCs w:val="16"/>
          <w:lang w:eastAsia="ru-RU"/>
        </w:rPr>
        <w:instrText xml:space="preserve"> HYPERLINK "</w:instrText>
      </w:r>
      <w:r w:rsidRPr="00490C88">
        <w:rPr>
          <w:rFonts w:ascii="Arial" w:eastAsia="Times New Roman" w:hAnsi="Arial" w:cs="Arial"/>
          <w:sz w:val="16"/>
          <w:szCs w:val="16"/>
          <w:lang w:eastAsia="ru-RU"/>
        </w:rPr>
        <w:instrText>http://www.sibfo.ru/news/press-release.php?action=art&amp;nart=6936</w:instrText>
      </w:r>
      <w:r>
        <w:rPr>
          <w:rFonts w:ascii="Arial" w:eastAsia="Times New Roman" w:hAnsi="Arial" w:cs="Arial"/>
          <w:sz w:val="16"/>
          <w:szCs w:val="16"/>
          <w:lang w:eastAsia="ru-RU"/>
        </w:rPr>
        <w:instrText xml:space="preserve">" </w:instrText>
      </w:r>
      <w:r>
        <w:rPr>
          <w:rFonts w:ascii="Arial" w:eastAsia="Times New Roman" w:hAnsi="Arial" w:cs="Arial"/>
          <w:sz w:val="16"/>
          <w:szCs w:val="16"/>
          <w:lang w:eastAsia="ru-RU"/>
        </w:rPr>
        <w:fldChar w:fldCharType="separate"/>
      </w:r>
      <w:r w:rsidRPr="00480FEC">
        <w:rPr>
          <w:rStyle w:val="a5"/>
          <w:rFonts w:ascii="Arial" w:eastAsia="Times New Roman" w:hAnsi="Arial" w:cs="Arial"/>
          <w:sz w:val="16"/>
          <w:szCs w:val="16"/>
          <w:lang w:eastAsia="ru-RU"/>
        </w:rPr>
        <w:t>http://www.sibfo.ru/news/press-release.php?action=art&amp;nart=6936</w:t>
      </w:r>
      <w:r>
        <w:rPr>
          <w:rFonts w:ascii="Arial" w:eastAsia="Times New Roman" w:hAnsi="Arial" w:cs="Arial"/>
          <w:sz w:val="16"/>
          <w:szCs w:val="16"/>
          <w:lang w:eastAsia="ru-RU"/>
        </w:rPr>
        <w:fldChar w:fldCharType="end"/>
      </w:r>
    </w:p>
    <w:p w:rsidR="00490C88" w:rsidRDefault="00490C88" w:rsidP="00490C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90C88" w:rsidRPr="00490C88" w:rsidRDefault="00490C88" w:rsidP="00490C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490C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 формы государственной поддержки сельской экономики должны способствовать закреплению населения – Виктор </w:t>
      </w:r>
      <w:proofErr w:type="spellStart"/>
      <w:r w:rsidRPr="00490C88">
        <w:rPr>
          <w:rFonts w:ascii="Arial" w:eastAsia="Times New Roman" w:hAnsi="Arial" w:cs="Arial"/>
          <w:b/>
          <w:sz w:val="24"/>
          <w:szCs w:val="24"/>
          <w:lang w:eastAsia="ru-RU"/>
        </w:rPr>
        <w:t>Толоконский</w:t>
      </w:r>
      <w:proofErr w:type="spellEnd"/>
    </w:p>
    <w:bookmarkEnd w:id="0"/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color w:val="969696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color w:val="969696"/>
          <w:sz w:val="18"/>
          <w:szCs w:val="18"/>
          <w:lang w:eastAsia="ru-RU"/>
        </w:rPr>
        <w:t>20.09.2011</w:t>
      </w:r>
    </w:p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«Все формы государственной поддержки сельской экономики должны, в первую очередь, способствовать закреплению населения, созданию благоприятных социальных условий. Можно направить немало средств на приобретение новой техники, строительство комплексов, но без специалистов не добиться высокого уровня развития села», – считает полномочный представитель Президента Российской Федерации в Сибирском федеральном округе Виктор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Толоконский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Полпред в рамках рабочей поездки в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Искитимский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 район Новосибирской области ознакомился с ходом уборочных работ в ЗАО «Степное», а также провел совещание с руководителями сельскохозяйственных предприятий по вопросам социально-экономического развития сельских территорий.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</w:tblGrid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38D660" wp14:editId="158521D4">
                  <wp:extent cx="3810000" cy="2838450"/>
                  <wp:effectExtent l="0" t="0" r="0" b="0"/>
                  <wp:docPr id="1" name="Рисунок 1" descr="http://www.sibfo.ru/dynamic/bnews/imagelib/110310-115841/110920-18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bfo.ru/dynamic/bnews/imagelib/110310-115841/110920-182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Виктор </w:t>
            </w:r>
            <w:proofErr w:type="spellStart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Толоконский</w:t>
            </w:r>
            <w:proofErr w:type="spellEnd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ознакомился с ходом уборочных работ (на фото слева - глава </w:t>
            </w:r>
            <w:proofErr w:type="spellStart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Искитимского</w:t>
            </w:r>
            <w:proofErr w:type="spellEnd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Олег </w:t>
            </w:r>
            <w:proofErr w:type="spellStart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Лагода</w:t>
            </w:r>
            <w:proofErr w:type="spellEnd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 центре - генеральный директор ЗАО «Степное» Владимир </w:t>
            </w:r>
            <w:proofErr w:type="spellStart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Засыпкин</w:t>
            </w:r>
            <w:proofErr w:type="spellEnd"/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По словам Виктора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Толоконского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, для сельской экономики наиболее актуальной проблемой остается недостаток специалистов. Полномочный представитель считает, что для ее решения необходимы меры по усилению государственной поддержки в области обеспечения молодых специалистов жильем. Полпред напомнил, что в Новосибирской области уже действует программа, согласно которой сельские жители при строительстве нового дома получают из регионального бюджета безвозмездную субсидию в размере 400 тысяч рублей. «Важно, чтобы поддержка оказывалась именно тем специалистам, которые готовы работать на сельхозпредприятии, оставаться в селе», – отметил Виктор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Толоконский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</w:tblGrid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74D47A7" wp14:editId="5AC2916E">
                  <wp:extent cx="3810000" cy="3057525"/>
                  <wp:effectExtent l="0" t="0" r="0" b="9525"/>
                  <wp:docPr id="2" name="Рисунок 2" descr="http://www.sibfo.ru/dynamic/bnews/imagelib/110310-115841/110920-18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bfo.ru/dynamic/bnews/imagelib/110310-115841/110920-182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Полпред провел совещание с руководителями сельскохозяйственных предприятий</w:t>
            </w:r>
          </w:p>
        </w:tc>
      </w:tr>
    </w:tbl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Среди важных факторов укрепления сельской экономики – приобретение новой техники и оборудования, обновление фондов. Полномочный представитель отметил, что на региональном уровне государственная политика в сфере агропромышленного комплекса должна быть направлена на поддержку модернизации широкого круга предприятий. «Необходимо поднять общий уровень развития аграрного сектора, не ориентируясь на самые сильные хозяйства, уже сформировавшие мощную технологическую базу, – считает Виктор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Толоконский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. – Именно небольшим хозяйства, на которые ложится нагрузка по производству массовой продукции, должны быть обеспечены более благоприятные условия для получения государственной поддержки». </w:t>
      </w:r>
    </w:p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Также на совещании обсуждались вопросы развития экспорта сельхозпродукции на рынки соседних регионов, перспективы введения обязательного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агрострахования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, проблемы кредитования сельскохозяйственных предприятий. 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</w:tblGrid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2A0324" wp14:editId="39C77C35">
                  <wp:extent cx="3810000" cy="2800350"/>
                  <wp:effectExtent l="0" t="0" r="0" b="0"/>
                  <wp:docPr id="3" name="Рисунок 3" descr="http://www.sibfo.ru/dynamic/bnews/imagelib/110310-115841/110920-18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bfo.ru/dynamic/bnews/imagelib/110310-115841/110920-18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C88" w:rsidRPr="00490C88" w:rsidTr="00490C88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C88" w:rsidRPr="00490C88" w:rsidRDefault="00490C88" w:rsidP="00490C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0C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ходе уборочных работ</w:t>
            </w:r>
          </w:p>
        </w:tc>
      </w:tr>
    </w:tbl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u w:val="single"/>
          <w:lang w:eastAsia="ru-RU"/>
        </w:rPr>
        <w:t>Справка:</w:t>
      </w: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90C88" w:rsidRPr="00490C88" w:rsidRDefault="00490C88" w:rsidP="00490C88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Уборочная площадь зерновых в </w:t>
      </w:r>
      <w:proofErr w:type="spell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Искитимском</w:t>
      </w:r>
      <w:proofErr w:type="spell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 районе Новосибирской области составляет более 70 тысяч га. По данным на 19 сентября, в районе скошено и обмолочено 53,5 тысячи га (76%), хозяйствами намолочено 108,3 тысячи тонн зерна. Урожайность – 20,2 центнера с </w:t>
      </w:r>
      <w:proofErr w:type="gram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га</w:t>
      </w:r>
      <w:proofErr w:type="gram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 xml:space="preserve">. В соответствующий период 2010 года было убрано 51,6% зерновых, урожайность составляла 18,2 центнера с </w:t>
      </w:r>
      <w:proofErr w:type="gramStart"/>
      <w:r w:rsidRPr="00490C88">
        <w:rPr>
          <w:rFonts w:ascii="Arial" w:eastAsia="Times New Roman" w:hAnsi="Arial" w:cs="Arial"/>
          <w:sz w:val="18"/>
          <w:szCs w:val="18"/>
          <w:lang w:eastAsia="ru-RU"/>
        </w:rPr>
        <w:t>га</w:t>
      </w:r>
      <w:proofErr w:type="gramEnd"/>
      <w:r w:rsidRPr="00490C8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41108" w:rsidRDefault="00441108"/>
    <w:sectPr w:rsidR="0044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8"/>
    <w:rsid w:val="00441108"/>
    <w:rsid w:val="004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2013-12-04T12:02:00Z</dcterms:created>
  <dcterms:modified xsi:type="dcterms:W3CDTF">2013-12-04T12:08:00Z</dcterms:modified>
</cp:coreProperties>
</file>